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50C" w:rsidRPr="003D2E49" w:rsidRDefault="0008350C" w:rsidP="0008350C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08350C" w:rsidRPr="003D2E49" w:rsidRDefault="0008350C" w:rsidP="0008350C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08350C" w:rsidRPr="003D2E49" w:rsidRDefault="0008350C" w:rsidP="0008350C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08350C" w:rsidRPr="003D2E49" w:rsidRDefault="0008350C" w:rsidP="0008350C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7A57EC" w:rsidRDefault="003C26EF" w:rsidP="007A57EC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7A57EC" w:rsidRPr="000F63E2">
        <w:rPr>
          <w:sz w:val="30"/>
          <w:szCs w:val="30"/>
        </w:rPr>
        <w:t>.12.2023 № 377</w:t>
      </w:r>
    </w:p>
    <w:p w:rsidR="0008350C" w:rsidRPr="003D2E49" w:rsidRDefault="0008350C" w:rsidP="007A57EC">
      <w:pPr>
        <w:spacing w:line="280" w:lineRule="exact"/>
        <w:rPr>
          <w:rFonts w:ascii="Times New Roman" w:hAnsi="Times New Roman" w:cs="Times New Roman"/>
          <w:bCs/>
          <w:sz w:val="30"/>
          <w:szCs w:val="30"/>
          <w:lang w:val="en-US"/>
        </w:rPr>
      </w:pPr>
    </w:p>
    <w:p w:rsidR="0008350C" w:rsidRPr="003D2E49" w:rsidRDefault="0008350C" w:rsidP="000835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552" w:right="2663"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49">
        <w:rPr>
          <w:rFonts w:ascii="Times New Roman" w:hAnsi="Times New Roman" w:cs="Times New Roman"/>
          <w:b/>
          <w:sz w:val="24"/>
          <w:szCs w:val="24"/>
        </w:rPr>
        <w:t>ВЕДОМСТВЕННАЯ ОТЧЕТНОСТЬ</w:t>
      </w:r>
    </w:p>
    <w:p w:rsidR="0008350C" w:rsidRPr="003D2E49" w:rsidRDefault="0008350C" w:rsidP="0008350C">
      <w:pPr>
        <w:spacing w:line="216" w:lineRule="auto"/>
        <w:rPr>
          <w:rFonts w:ascii="Times New Roman" w:hAnsi="Times New Roman" w:cs="Times New Roman"/>
          <w:sz w:val="19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399"/>
      </w:tblGrid>
      <w:tr w:rsidR="0008350C" w:rsidRPr="003D2E49" w:rsidTr="00E163A1">
        <w:trPr>
          <w:jc w:val="center"/>
        </w:trPr>
        <w:tc>
          <w:tcPr>
            <w:tcW w:w="12399" w:type="dxa"/>
          </w:tcPr>
          <w:p w:rsidR="0008350C" w:rsidRPr="003D2E49" w:rsidRDefault="0008350C" w:rsidP="00E163A1">
            <w:pPr>
              <w:pStyle w:val="2"/>
              <w:rPr>
                <w:rFonts w:ascii="Times New Roman" w:hAnsi="Times New Roman" w:cs="Times New Roman"/>
                <w:b w:val="0"/>
                <w:szCs w:val="24"/>
              </w:rPr>
            </w:pPr>
            <w:r w:rsidRPr="003D2E49">
              <w:rPr>
                <w:rFonts w:ascii="Times New Roman" w:hAnsi="Times New Roman" w:cs="Times New Roman"/>
                <w:b w:val="0"/>
                <w:szCs w:val="24"/>
              </w:rPr>
              <w:t>СВЕДЕНИЯ</w:t>
            </w:r>
          </w:p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об оздоровлении детей с особенностями психофизического развития</w:t>
            </w:r>
          </w:p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3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в летний период 2024 года на 15 сентября 2024 г.</w:t>
            </w:r>
          </w:p>
        </w:tc>
      </w:tr>
    </w:tbl>
    <w:p w:rsidR="0008350C" w:rsidRPr="003D2E49" w:rsidRDefault="0008350C" w:rsidP="0008350C">
      <w:pPr>
        <w:spacing w:line="216" w:lineRule="auto"/>
        <w:rPr>
          <w:rFonts w:ascii="Times New Roman" w:hAnsi="Times New Roman" w:cs="Times New Roman"/>
          <w:sz w:val="21"/>
          <w:u w:val="single"/>
        </w:rPr>
      </w:pPr>
    </w:p>
    <w:tbl>
      <w:tblPr>
        <w:tblW w:w="0" w:type="auto"/>
        <w:tblInd w:w="4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15"/>
      </w:tblGrid>
      <w:tr w:rsidR="0008350C" w:rsidRPr="003D2E49" w:rsidTr="00E163A1">
        <w:trPr>
          <w:trHeight w:val="225"/>
        </w:trPr>
        <w:tc>
          <w:tcPr>
            <w:tcW w:w="6815" w:type="dxa"/>
            <w:tcBorders>
              <w:bottom w:val="single" w:sz="4" w:space="0" w:color="auto"/>
            </w:tcBorders>
          </w:tcPr>
          <w:p w:rsidR="0008350C" w:rsidRPr="003D2E49" w:rsidRDefault="0008350C" w:rsidP="00E163A1">
            <w:pPr>
              <w:spacing w:before="40" w:line="216" w:lineRule="auto"/>
              <w:rPr>
                <w:rFonts w:ascii="Times New Roman" w:hAnsi="Times New Roman" w:cs="Times New Roman"/>
                <w:sz w:val="21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4"/>
              </w:rPr>
              <w:t>ВОЗМОЖНО ПРЕДОСТАВЛЕНИЕ В ЭЛЕКТРОННОМ ВИДЕ</w:t>
            </w:r>
          </w:p>
        </w:tc>
      </w:tr>
    </w:tbl>
    <w:p w:rsidR="0008350C" w:rsidRPr="003D2E49" w:rsidRDefault="0008350C" w:rsidP="0008350C">
      <w:pPr>
        <w:spacing w:line="216" w:lineRule="auto"/>
        <w:rPr>
          <w:rFonts w:ascii="Times New Roman" w:hAnsi="Times New Roman" w:cs="Times New Roman"/>
          <w:sz w:val="21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458"/>
        <w:gridCol w:w="4222"/>
        <w:gridCol w:w="1828"/>
        <w:gridCol w:w="424"/>
        <w:gridCol w:w="1775"/>
      </w:tblGrid>
      <w:tr w:rsidR="0008350C" w:rsidRPr="003D2E49" w:rsidTr="007A57EC">
        <w:trPr>
          <w:cantSplit/>
          <w:trHeight w:val="609"/>
        </w:trPr>
        <w:tc>
          <w:tcPr>
            <w:tcW w:w="237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0C" w:rsidRPr="003D2E49" w:rsidRDefault="0008350C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134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0C" w:rsidRPr="003D2E49" w:rsidRDefault="0008350C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582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0C" w:rsidRPr="003D2E49" w:rsidRDefault="0008350C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предоставления</w:t>
            </w:r>
          </w:p>
        </w:tc>
        <w:tc>
          <w:tcPr>
            <w:tcW w:w="135" w:type="pct"/>
            <w:vMerge w:val="restart"/>
            <w:tcBorders>
              <w:left w:val="nil"/>
              <w:right w:val="single" w:sz="6" w:space="0" w:color="auto"/>
            </w:tcBorders>
          </w:tcPr>
          <w:p w:rsidR="0008350C" w:rsidRPr="003D2E49" w:rsidRDefault="0008350C" w:rsidP="00E163A1">
            <w:pPr>
              <w:spacing w:before="120"/>
              <w:jc w:val="center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6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8350C" w:rsidRPr="003D2E49" w:rsidRDefault="0008350C" w:rsidP="00E163A1">
            <w:pPr>
              <w:keepNext/>
              <w:spacing w:before="12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Периодичность предоставления</w:t>
            </w:r>
          </w:p>
        </w:tc>
      </w:tr>
      <w:tr w:rsidR="0008350C" w:rsidRPr="003D2E49" w:rsidTr="007A57EC">
        <w:trPr>
          <w:cantSplit/>
          <w:trHeight w:val="538"/>
        </w:trPr>
        <w:tc>
          <w:tcPr>
            <w:tcW w:w="2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C" w:rsidRPr="003D2E49" w:rsidRDefault="0008350C" w:rsidP="00E163A1">
            <w:pPr>
              <w:spacing w:before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учреждения образования, реализующие образовательные программы специального образования, подчиненные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структурным подразделениям городских, районных исполнительных комитетов, местных администраций районов в городах, осуществляющие государственно-властные полномочия в сфере образования</w:t>
            </w:r>
          </w:p>
        </w:tc>
        <w:tc>
          <w:tcPr>
            <w:tcW w:w="13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spacing w:before="6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городских, районных исполнительных комитетов, местных администраций районов в городах, осуществляющим государственно-властные полномочия в сфере образования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spacing w:before="60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15 сентября</w:t>
            </w:r>
          </w:p>
        </w:tc>
        <w:tc>
          <w:tcPr>
            <w:tcW w:w="135" w:type="pct"/>
            <w:vMerge/>
            <w:tcBorders>
              <w:left w:val="single" w:sz="4" w:space="0" w:color="auto"/>
              <w:right w:val="single" w:sz="6" w:space="0" w:color="auto"/>
            </w:tcBorders>
          </w:tcPr>
          <w:p w:rsidR="0008350C" w:rsidRPr="003D2E49" w:rsidRDefault="0008350C" w:rsidP="00E163A1">
            <w:pPr>
              <w:spacing w:before="6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6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1 раз в год</w:t>
            </w:r>
          </w:p>
        </w:tc>
      </w:tr>
      <w:tr w:rsidR="0008350C" w:rsidRPr="003D2E49" w:rsidTr="007A57EC">
        <w:trPr>
          <w:cantSplit/>
          <w:trHeight w:val="1008"/>
        </w:trPr>
        <w:tc>
          <w:tcPr>
            <w:tcW w:w="2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C" w:rsidRPr="003D2E49" w:rsidRDefault="0008350C" w:rsidP="00E163A1">
            <w:pPr>
              <w:jc w:val="both"/>
              <w:rPr>
                <w:rFonts w:ascii="Times New Roman" w:hAnsi="Times New Roman" w:cs="Times New Roman"/>
                <w:sz w:val="19"/>
              </w:rPr>
            </w:pPr>
          </w:p>
        </w:tc>
        <w:tc>
          <w:tcPr>
            <w:tcW w:w="13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pStyle w:val="a3"/>
              <w:ind w:firstLine="680"/>
              <w:jc w:val="both"/>
              <w:rPr>
                <w:rFonts w:ascii="Times New Roman" w:hAnsi="Times New Roman" w:cs="Times New Roman"/>
                <w:sz w:val="19"/>
                <w:lang w:val="be-BY"/>
              </w:rPr>
            </w:pPr>
          </w:p>
        </w:tc>
        <w:tc>
          <w:tcPr>
            <w:tcW w:w="5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spacing w:before="120" w:line="100" w:lineRule="exact"/>
              <w:jc w:val="center"/>
              <w:rPr>
                <w:rFonts w:ascii="Times New Roman" w:hAnsi="Times New Roman" w:cs="Times New Roman"/>
                <w:sz w:val="19"/>
                <w:lang w:val="be-BY"/>
              </w:rPr>
            </w:pPr>
          </w:p>
        </w:tc>
        <w:tc>
          <w:tcPr>
            <w:tcW w:w="135" w:type="pct"/>
            <w:vMerge/>
            <w:tcBorders>
              <w:left w:val="single" w:sz="4" w:space="0" w:color="auto"/>
            </w:tcBorders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  <w:tc>
          <w:tcPr>
            <w:tcW w:w="565" w:type="pct"/>
            <w:vMerge w:val="restart"/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</w:tr>
      <w:tr w:rsidR="0008350C" w:rsidRPr="003D2E49" w:rsidTr="007A57EC">
        <w:trPr>
          <w:cantSplit/>
          <w:trHeight w:val="1615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C" w:rsidRPr="003D2E49" w:rsidRDefault="0008350C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учреждения образования, реализующие образовательные программы специального образования, подчиненные структурным подразделениям областных (Минского городского) исполнительных комитетов,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осуществляющие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; </w:t>
            </w:r>
          </w:p>
          <w:p w:rsidR="0008350C" w:rsidRPr="003D2E49" w:rsidRDefault="0008350C" w:rsidP="00E163A1">
            <w:pPr>
              <w:spacing w:before="60"/>
              <w:jc w:val="both"/>
              <w:rPr>
                <w:rFonts w:ascii="Times New Roman" w:hAnsi="Times New Roman" w:cs="Times New Roman"/>
                <w:sz w:val="19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городских, районных исполнительных комитетов, местных администраций районов в городах, осуществляющие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– сводные данные по району (городу)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jc w:val="both"/>
              <w:rPr>
                <w:rFonts w:ascii="Times New Roman" w:hAnsi="Times New Roman" w:cs="Times New Roman"/>
                <w:sz w:val="19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областных (Минского городского) исполнительных комитетов, осуществляющим государственно-властные полномочия в сфере образования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30 сентября</w:t>
            </w:r>
          </w:p>
        </w:tc>
        <w:tc>
          <w:tcPr>
            <w:tcW w:w="135" w:type="pct"/>
            <w:vMerge/>
            <w:tcBorders>
              <w:left w:val="single" w:sz="4" w:space="0" w:color="auto"/>
            </w:tcBorders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  <w:tc>
          <w:tcPr>
            <w:tcW w:w="565" w:type="pct"/>
            <w:vMerge/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</w:tr>
      <w:tr w:rsidR="0008350C" w:rsidRPr="003D2E49" w:rsidTr="007A57EC">
        <w:trPr>
          <w:cantSplit/>
          <w:trHeight w:val="699"/>
        </w:trPr>
        <w:tc>
          <w:tcPr>
            <w:tcW w:w="2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350C" w:rsidRPr="003D2E49" w:rsidRDefault="0008350C" w:rsidP="00E163A1">
            <w:pPr>
              <w:spacing w:before="60"/>
              <w:jc w:val="both"/>
              <w:rPr>
                <w:rFonts w:ascii="Times New Roman" w:hAnsi="Times New Roman" w:cs="Times New Roman"/>
                <w:sz w:val="19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– сводные данные по области (г. Минску)</w:t>
            </w:r>
          </w:p>
        </w:tc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pStyle w:val="a3"/>
              <w:spacing w:before="60"/>
              <w:rPr>
                <w:rFonts w:ascii="Times New Roman" w:hAnsi="Times New Roman" w:cs="Times New Roman"/>
                <w:sz w:val="19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Министерству образования 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spacing w:before="60"/>
              <w:jc w:val="center"/>
              <w:rPr>
                <w:rFonts w:ascii="Times New Roman" w:hAnsi="Times New Roman" w:cs="Times New Roman"/>
                <w:sz w:val="19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15 октября</w:t>
            </w:r>
          </w:p>
        </w:tc>
        <w:tc>
          <w:tcPr>
            <w:tcW w:w="135" w:type="pct"/>
            <w:vMerge/>
            <w:tcBorders>
              <w:left w:val="single" w:sz="4" w:space="0" w:color="auto"/>
              <w:bottom w:val="nil"/>
            </w:tcBorders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  <w:tc>
          <w:tcPr>
            <w:tcW w:w="565" w:type="pct"/>
            <w:vMerge/>
            <w:tcBorders>
              <w:bottom w:val="nil"/>
            </w:tcBorders>
          </w:tcPr>
          <w:p w:rsidR="0008350C" w:rsidRPr="003D2E49" w:rsidRDefault="0008350C" w:rsidP="00E163A1">
            <w:pPr>
              <w:spacing w:before="120"/>
              <w:rPr>
                <w:rFonts w:ascii="Times New Roman" w:hAnsi="Times New Roman" w:cs="Times New Roman"/>
                <w:sz w:val="21"/>
                <w:u w:val="single"/>
              </w:rPr>
            </w:pPr>
          </w:p>
        </w:tc>
      </w:tr>
    </w:tbl>
    <w:p w:rsidR="0008350C" w:rsidRPr="007A57EC" w:rsidRDefault="0008350C" w:rsidP="0008350C">
      <w:pPr>
        <w:spacing w:line="216" w:lineRule="auto"/>
        <w:rPr>
          <w:rFonts w:asciiTheme="minorHAnsi" w:hAnsi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08350C" w:rsidRPr="003D2E49" w:rsidTr="007A57EC">
        <w:trPr>
          <w:cantSplit/>
          <w:trHeight w:val="48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350C" w:rsidRDefault="0008350C" w:rsidP="00E163A1">
            <w:pPr>
              <w:spacing w:line="216" w:lineRule="auto"/>
              <w:rPr>
                <w:sz w:val="22"/>
                <w:szCs w:val="22"/>
              </w:rPr>
            </w:pPr>
            <w:r w:rsidRPr="003D2E49">
              <w:rPr>
                <w:sz w:val="22"/>
                <w:szCs w:val="22"/>
              </w:rPr>
              <w:t xml:space="preserve">Наименование отчитывающейся организации </w:t>
            </w:r>
            <w:r w:rsidRPr="003D2E49">
              <w:rPr>
                <w:sz w:val="22"/>
                <w:szCs w:val="22"/>
                <w:lang w:val="en-US"/>
              </w:rPr>
              <w:t>_______________________________________________________</w:t>
            </w:r>
            <w:r w:rsidRPr="003D2E49">
              <w:rPr>
                <w:sz w:val="22"/>
                <w:szCs w:val="22"/>
              </w:rPr>
              <w:t>_______________________________________________________</w:t>
            </w:r>
            <w:r w:rsidR="007A57EC">
              <w:rPr>
                <w:sz w:val="22"/>
                <w:szCs w:val="22"/>
              </w:rPr>
              <w:t>______________________________</w:t>
            </w:r>
          </w:p>
          <w:p w:rsidR="007A57EC" w:rsidRPr="007A57EC" w:rsidRDefault="007A57EC" w:rsidP="00E163A1">
            <w:pPr>
              <w:spacing w:line="21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08350C" w:rsidRPr="007A57EC" w:rsidRDefault="0008350C" w:rsidP="0008350C">
      <w:pPr>
        <w:spacing w:line="216" w:lineRule="auto"/>
        <w:rPr>
          <w:rFonts w:asciiTheme="minorHAnsi" w:hAnsiTheme="minorHAnsi"/>
          <w:sz w:val="22"/>
          <w:szCs w:val="22"/>
        </w:rPr>
      </w:pPr>
    </w:p>
    <w:p w:rsidR="0008350C" w:rsidRPr="003D2E49" w:rsidRDefault="0008350C" w:rsidP="0008350C">
      <w:pPr>
        <w:spacing w:line="216" w:lineRule="auto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768"/>
        <w:gridCol w:w="1945"/>
      </w:tblGrid>
      <w:tr w:rsidR="0008350C" w:rsidRPr="003D2E49" w:rsidTr="007A57EC">
        <w:trPr>
          <w:trHeight w:val="180"/>
          <w:hidden/>
        </w:trPr>
        <w:tc>
          <w:tcPr>
            <w:tcW w:w="4381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  <w:lang w:val="en-US"/>
              </w:rPr>
            </w:pPr>
            <w:r w:rsidRPr="003D2E49">
              <w:rPr>
                <w:vanish/>
              </w:rPr>
              <w:br w:type="page"/>
            </w:r>
            <w:r w:rsidRPr="003D2E49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619" w:type="pct"/>
            <w:tcBorders>
              <w:bottom w:val="single" w:sz="4" w:space="0" w:color="auto"/>
            </w:tcBorders>
            <w:vAlign w:val="center"/>
          </w:tcPr>
          <w:p w:rsidR="0008350C" w:rsidRPr="003D2E49" w:rsidRDefault="0008350C" w:rsidP="00E163A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Код</w:t>
            </w:r>
          </w:p>
        </w:tc>
      </w:tr>
      <w:tr w:rsidR="0008350C" w:rsidRPr="003D2E49" w:rsidTr="007A57EC">
        <w:trPr>
          <w:trHeight w:val="251"/>
        </w:trPr>
        <w:tc>
          <w:tcPr>
            <w:tcW w:w="4381" w:type="pct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А</w:t>
            </w: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:rsidR="0008350C" w:rsidRPr="003D2E49" w:rsidRDefault="0008350C" w:rsidP="00E163A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08350C" w:rsidRPr="003D2E49" w:rsidTr="007A57EC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381" w:type="pct"/>
            <w:tcBorders>
              <w:left w:val="single" w:sz="4" w:space="0" w:color="auto"/>
              <w:bottom w:val="single" w:sz="4" w:space="0" w:color="auto"/>
            </w:tcBorders>
          </w:tcPr>
          <w:p w:rsidR="0008350C" w:rsidRPr="003D2E49" w:rsidRDefault="0008350C" w:rsidP="00E163A1">
            <w:pPr>
              <w:pStyle w:val="a5"/>
              <w:spacing w:after="0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Код вида учреждения:</w:t>
            </w:r>
          </w:p>
          <w:p w:rsidR="0008350C" w:rsidRPr="003D2E49" w:rsidRDefault="0008350C" w:rsidP="00E163A1">
            <w:pPr>
              <w:pStyle w:val="a5"/>
              <w:spacing w:after="0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1 – центр коррекционно-развивающего обучения и реабилитации</w:t>
            </w:r>
          </w:p>
          <w:p w:rsidR="0008350C" w:rsidRPr="003D2E49" w:rsidRDefault="0008350C" w:rsidP="00E163A1">
            <w:pPr>
              <w:pStyle w:val="a5"/>
              <w:spacing w:after="0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2 – специальная школа, специальная школа-интернат</w:t>
            </w:r>
          </w:p>
          <w:p w:rsidR="0008350C" w:rsidRPr="003D2E49" w:rsidRDefault="0008350C" w:rsidP="00E163A1">
            <w:pPr>
              <w:keepNext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 xml:space="preserve">3 –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общего среднего образования, </w:t>
            </w:r>
            <w:r w:rsidRPr="003D2E49">
              <w:rPr>
                <w:rFonts w:ascii="Times New Roman" w:eastAsia="Symbol" w:hAnsi="Times New Roman" w:cs="Times New Roman"/>
                <w:sz w:val="22"/>
                <w:szCs w:val="22"/>
                <w:lang w:val="be-BY" w:eastAsia="en-US"/>
              </w:rPr>
              <w:t>реализующие образовательные программы специального образования,</w:t>
            </w:r>
          </w:p>
          <w:p w:rsidR="0008350C" w:rsidRPr="003D2E49" w:rsidRDefault="0008350C" w:rsidP="00E163A1">
            <w:pPr>
              <w:pStyle w:val="a5"/>
              <w:spacing w:after="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4 – образовательно-оздоровительный центр (оздоровительный лагерь)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50C" w:rsidRPr="003D2E49" w:rsidRDefault="0008350C" w:rsidP="00E163A1">
            <w:pPr>
              <w:pStyle w:val="a5"/>
              <w:spacing w:after="0"/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</w:tc>
      </w:tr>
    </w:tbl>
    <w:p w:rsidR="0008350C" w:rsidRPr="003D2E49" w:rsidRDefault="0008350C" w:rsidP="0008350C">
      <w:pPr>
        <w:ind w:right="329"/>
        <w:jc w:val="right"/>
        <w:rPr>
          <w:rFonts w:ascii="Times New Roman" w:hAnsi="Times New Roman" w:cs="Times New Roman"/>
          <w:sz w:val="24"/>
        </w:rPr>
      </w:pPr>
      <w:r w:rsidRPr="003D2E49">
        <w:rPr>
          <w:sz w:val="22"/>
          <w:szCs w:val="22"/>
        </w:rPr>
        <w:t>Таблица 1</w:t>
      </w:r>
    </w:p>
    <w:p w:rsidR="0008350C" w:rsidRPr="003D2E49" w:rsidRDefault="0008350C" w:rsidP="0008350C">
      <w:pPr>
        <w:rPr>
          <w:rFonts w:ascii="Times New Roman" w:hAnsi="Times New Roman" w:cs="Times New Roman"/>
          <w:sz w:val="24"/>
        </w:rPr>
      </w:pPr>
    </w:p>
    <w:tbl>
      <w:tblPr>
        <w:tblpPr w:leftFromText="180" w:rightFromText="180" w:vertAnchor="text" w:horzAnchor="margin" w:tblpY="-3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89"/>
        <w:gridCol w:w="1194"/>
        <w:gridCol w:w="1864"/>
        <w:gridCol w:w="1288"/>
        <w:gridCol w:w="2153"/>
        <w:gridCol w:w="1301"/>
        <w:gridCol w:w="1012"/>
        <w:gridCol w:w="1012"/>
      </w:tblGrid>
      <w:tr w:rsidR="0008350C" w:rsidRPr="003D2E49" w:rsidTr="007A57EC">
        <w:trPr>
          <w:cantSplit/>
          <w:trHeight w:val="982"/>
        </w:trPr>
        <w:tc>
          <w:tcPr>
            <w:tcW w:w="1874" w:type="pct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80" w:type="pct"/>
          </w:tcPr>
          <w:p w:rsidR="0008350C" w:rsidRPr="003D2E49" w:rsidRDefault="0008350C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Номер</w:t>
            </w:r>
          </w:p>
          <w:p w:rsidR="0008350C" w:rsidRPr="003D2E49" w:rsidRDefault="0008350C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строки</w:t>
            </w:r>
          </w:p>
        </w:tc>
        <w:tc>
          <w:tcPr>
            <w:tcW w:w="593" w:type="pct"/>
          </w:tcPr>
          <w:p w:rsidR="0008350C" w:rsidRPr="003D2E49" w:rsidRDefault="0008350C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лагерей, единиц</w:t>
            </w:r>
          </w:p>
        </w:tc>
        <w:tc>
          <w:tcPr>
            <w:tcW w:w="410" w:type="pct"/>
          </w:tcPr>
          <w:p w:rsidR="0008350C" w:rsidRPr="003D2E49" w:rsidRDefault="0008350C" w:rsidP="00E163A1">
            <w:pPr>
              <w:ind w:left="-19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В них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детей,</w:t>
            </w:r>
          </w:p>
          <w:p w:rsidR="0008350C" w:rsidRPr="003D2E49" w:rsidRDefault="0008350C" w:rsidP="00E163A1">
            <w:pPr>
              <w:ind w:left="-108"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85" w:type="pct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В санаторно-курортных </w:t>
            </w:r>
          </w:p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 оздоровительных организациях</w:t>
            </w:r>
          </w:p>
        </w:tc>
        <w:tc>
          <w:tcPr>
            <w:tcW w:w="414" w:type="pct"/>
            <w:tcBorders>
              <w:top w:val="single" w:sz="4" w:space="0" w:color="auto"/>
            </w:tcBorders>
          </w:tcPr>
          <w:p w:rsidR="0008350C" w:rsidRPr="003D2E49" w:rsidRDefault="0008350C" w:rsidP="00E163A1">
            <w:pPr>
              <w:ind w:right="-108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За рубежом</w:t>
            </w:r>
          </w:p>
        </w:tc>
        <w:tc>
          <w:tcPr>
            <w:tcW w:w="322" w:type="pct"/>
            <w:tcBorders>
              <w:top w:val="single" w:sz="4" w:space="0" w:color="auto"/>
            </w:tcBorders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 даче</w:t>
            </w:r>
          </w:p>
        </w:tc>
        <w:tc>
          <w:tcPr>
            <w:tcW w:w="322" w:type="pct"/>
            <w:tcBorders>
              <w:top w:val="single" w:sz="4" w:space="0" w:color="auto"/>
            </w:tcBorders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Другое</w:t>
            </w:r>
          </w:p>
        </w:tc>
      </w:tr>
      <w:tr w:rsidR="0008350C" w:rsidRPr="003D2E49" w:rsidTr="007A57EC">
        <w:trPr>
          <w:cantSplit/>
          <w:trHeight w:val="70"/>
        </w:trPr>
        <w:tc>
          <w:tcPr>
            <w:tcW w:w="187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8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593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5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08350C" w:rsidRPr="003D2E49" w:rsidTr="007A57EC">
        <w:trPr>
          <w:cantSplit/>
        </w:trPr>
        <w:tc>
          <w:tcPr>
            <w:tcW w:w="1874" w:type="pct"/>
            <w:vAlign w:val="center"/>
          </w:tcPr>
          <w:p w:rsidR="0008350C" w:rsidRPr="003D2E49" w:rsidRDefault="0008350C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Количество детей с особенности психофизического развития (далее – ОПФР), оздоровленных за отчетный летний период, всего</w:t>
            </w:r>
          </w:p>
        </w:tc>
        <w:tc>
          <w:tcPr>
            <w:tcW w:w="38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593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350C" w:rsidRPr="003D2E49" w:rsidTr="007A57EC">
        <w:trPr>
          <w:cantSplit/>
        </w:trPr>
        <w:tc>
          <w:tcPr>
            <w:tcW w:w="1874" w:type="pct"/>
            <w:vAlign w:val="center"/>
          </w:tcPr>
          <w:p w:rsidR="0008350C" w:rsidRPr="003D2E49" w:rsidRDefault="0008350C" w:rsidP="00E163A1">
            <w:pPr>
              <w:ind w:left="426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 – дети-сироты</w:t>
            </w:r>
          </w:p>
        </w:tc>
        <w:tc>
          <w:tcPr>
            <w:tcW w:w="38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593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350C" w:rsidRPr="003D2E49" w:rsidTr="007A57EC">
        <w:trPr>
          <w:cantSplit/>
        </w:trPr>
        <w:tc>
          <w:tcPr>
            <w:tcW w:w="1874" w:type="pct"/>
            <w:vAlign w:val="center"/>
          </w:tcPr>
          <w:p w:rsidR="0008350C" w:rsidRPr="003D2E49" w:rsidRDefault="0008350C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Из общего количества детей с ОПФР </w:t>
            </w:r>
          </w:p>
          <w:p w:rsidR="0008350C" w:rsidRPr="003D2E49" w:rsidRDefault="0008350C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(из строки 01) – дети-инвалиды, всего</w:t>
            </w:r>
          </w:p>
        </w:tc>
        <w:tc>
          <w:tcPr>
            <w:tcW w:w="38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593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350C" w:rsidRPr="003D2E49" w:rsidTr="007A57EC">
        <w:trPr>
          <w:cantSplit/>
        </w:trPr>
        <w:tc>
          <w:tcPr>
            <w:tcW w:w="1874" w:type="pct"/>
            <w:vAlign w:val="center"/>
          </w:tcPr>
          <w:p w:rsidR="0008350C" w:rsidRPr="003D2E49" w:rsidRDefault="0008350C" w:rsidP="00E163A1">
            <w:pPr>
              <w:ind w:left="426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 – дети-сироты</w:t>
            </w:r>
          </w:p>
        </w:tc>
        <w:tc>
          <w:tcPr>
            <w:tcW w:w="38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593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0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5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4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pct"/>
            <w:vAlign w:val="center"/>
          </w:tcPr>
          <w:p w:rsidR="0008350C" w:rsidRPr="003D2E49" w:rsidRDefault="0008350C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08350C" w:rsidRPr="003D2E49" w:rsidRDefault="0008350C" w:rsidP="0008350C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08350C" w:rsidRPr="003D2E49" w:rsidRDefault="0008350C" w:rsidP="0008350C">
      <w:pPr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  </w:t>
      </w:r>
      <w:r w:rsidRPr="003D2E49"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  (инициалы, фамилия)</w:t>
      </w:r>
    </w:p>
    <w:p w:rsidR="0008350C" w:rsidRPr="003D2E49" w:rsidRDefault="0008350C" w:rsidP="0008350C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08350C" w:rsidRPr="003D2E49" w:rsidRDefault="0008350C" w:rsidP="0008350C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08350C" w:rsidRPr="003D2E49" w:rsidRDefault="0008350C" w:rsidP="0008350C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  (фамилия, собственное имя, отчество (при его наличии), номер телефона,</w:t>
      </w:r>
    </w:p>
    <w:p w:rsidR="0008350C" w:rsidRPr="003D2E49" w:rsidRDefault="0008350C" w:rsidP="0008350C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08350C" w:rsidRPr="003D2E49" w:rsidRDefault="0008350C" w:rsidP="0008350C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08350C" w:rsidRPr="003D2E49" w:rsidRDefault="0008350C" w:rsidP="0008350C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</w:t>
      </w:r>
    </w:p>
    <w:p w:rsidR="0008350C" w:rsidRPr="003D2E49" w:rsidRDefault="0008350C" w:rsidP="0008350C">
      <w:pPr>
        <w:spacing w:line="280" w:lineRule="exact"/>
        <w:rPr>
          <w:rFonts w:ascii="Times New Roman" w:hAnsi="Times New Roman" w:cs="Times New Roman"/>
          <w:sz w:val="22"/>
          <w:szCs w:val="22"/>
          <w:lang w:val="be-BY"/>
        </w:rPr>
      </w:pPr>
    </w:p>
    <w:p w:rsidR="00422564" w:rsidRDefault="00422564" w:rsidP="0008350C"/>
    <w:sectPr w:rsidR="00422564" w:rsidSect="007A57EC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1B5"/>
    <w:rsid w:val="0008350C"/>
    <w:rsid w:val="003C26EF"/>
    <w:rsid w:val="00422564"/>
    <w:rsid w:val="006D6D6C"/>
    <w:rsid w:val="007A57EC"/>
    <w:rsid w:val="00F7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4F74"/>
  <w15:chartTrackingRefBased/>
  <w15:docId w15:val="{47FE6034-5753-4564-A53E-57CCEF4EF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350C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8350C"/>
    <w:pPr>
      <w:keepNext/>
      <w:jc w:val="center"/>
      <w:outlineLvl w:val="1"/>
    </w:pPr>
    <w:rPr>
      <w:b/>
      <w:sz w:val="22"/>
      <w:lang w:val="be-BY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8350C"/>
    <w:rPr>
      <w:rFonts w:ascii="inherit" w:eastAsia="inherit" w:hAnsi="inherit" w:cs="inherit"/>
      <w:b/>
      <w:szCs w:val="20"/>
      <w:lang w:val="be-BY" w:eastAsia="x-none"/>
    </w:rPr>
  </w:style>
  <w:style w:type="paragraph" w:styleId="a3">
    <w:name w:val="header"/>
    <w:basedOn w:val="a"/>
    <w:link w:val="a4"/>
    <w:uiPriority w:val="99"/>
    <w:rsid w:val="0008350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350C"/>
    <w:rPr>
      <w:rFonts w:ascii="inherit" w:eastAsia="inherit" w:hAnsi="inherit" w:cs="inherit"/>
      <w:sz w:val="20"/>
      <w:szCs w:val="20"/>
      <w:lang w:eastAsia="ru-RU"/>
    </w:rPr>
  </w:style>
  <w:style w:type="paragraph" w:styleId="a5">
    <w:name w:val="Body Text"/>
    <w:basedOn w:val="a"/>
    <w:link w:val="a6"/>
    <w:rsid w:val="0008350C"/>
    <w:pPr>
      <w:spacing w:after="120"/>
    </w:pPr>
  </w:style>
  <w:style w:type="character" w:customStyle="1" w:styleId="a6">
    <w:name w:val="Основной текст Знак"/>
    <w:basedOn w:val="a0"/>
    <w:link w:val="a5"/>
    <w:rsid w:val="0008350C"/>
    <w:rPr>
      <w:rFonts w:ascii="inherit" w:eastAsia="inherit" w:hAnsi="inherit" w:cs="inherit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2024-02-23T08:17:00Z</dcterms:created>
  <dcterms:modified xsi:type="dcterms:W3CDTF">2024-02-27T05:52:00Z</dcterms:modified>
</cp:coreProperties>
</file>